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52EF" w14:textId="77777777" w:rsidR="00642642" w:rsidRDefault="00642642" w:rsidP="00642642">
      <w:pPr>
        <w:jc w:val="both"/>
      </w:pPr>
      <w:r>
        <w:t>Віктор Савченко — відомий український історик і публіцист, автор понад тридцяти книг, добра половина з яких так чи інакше пов’язана з «махновською темою». Ще 1990 року він заявив про необхідність перегляду ставлення до «махновського феномену» в історичній науці.  Образ шаленого батька Махна та двозначний термін «махновщина» відбилися в пам’яті народній ще за часів гуляйпільської вольниці. Як не намагалися в СРСР малювати його «бандитом і погромником», через сто років про Махна пам’ятають, йому створюють пам’ятники й меморіальні дошки. Але чи тільки безстрашними рейдами і військовими талантами уславився козацький нащадок? Головною метою махновського руху (1917—1921 рр.) було створення ідеальної України — без начальників та панів, без державної бюрократії, експлуатації, принижень... Махновці намагалися збудувати нове суспільство — Українську Трудову федерацію, і здавалося, їм таки вдалося почати це будівництво... Але немає ідеальних людей і неможливо перестрибнути через епохи, війни, зламавши основи цивілізації.  Історія існування «махновської України» — це не тільки захоплюючий історичний міф, а досвід проб і помилок, героїзму і романтизму, історія нації, що народжувалася для історичного прориву.</w:t>
      </w:r>
    </w:p>
    <w:p w14:paraId="5FDF678D" w14:textId="77777777" w:rsidR="00642642" w:rsidRDefault="00642642" w:rsidP="00642642">
      <w:pPr>
        <w:jc w:val="both"/>
      </w:pPr>
    </w:p>
    <w:sectPr w:rsidR="00642642" w:rsidSect="00642642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66"/>
    <w:rsid w:val="00076F66"/>
    <w:rsid w:val="006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89156-2E67-4D5B-B1BA-C470157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2023-05-24T19:31:00Z</dcterms:created>
  <dcterms:modified xsi:type="dcterms:W3CDTF">2023-05-24T19:35:00Z</dcterms:modified>
</cp:coreProperties>
</file>